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B9" w:rsidRDefault="00070552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ХАНТЫ-МАНСИЙСКИЙ АВТОНОМНЫЙ ОКРУГ – ЮГРА</w:t>
      </w:r>
    </w:p>
    <w:p w:rsidR="00177AB9" w:rsidRDefault="00070552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ХАНТЫ-МАНСИЙСКИЙ РАЙОН</w:t>
      </w:r>
    </w:p>
    <w:p w:rsidR="00177AB9" w:rsidRDefault="00177AB9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7AB9" w:rsidRDefault="00070552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zh-CN"/>
        </w:rPr>
        <w:t>ДУМА</w:t>
      </w:r>
    </w:p>
    <w:p w:rsidR="00177AB9" w:rsidRDefault="00177AB9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7AB9" w:rsidRDefault="00070552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177AB9" w:rsidRDefault="00177AB9" w:rsidP="001D37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7AB9" w:rsidRDefault="00042218" w:rsidP="001D37F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26.06.2026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769</w:t>
      </w:r>
    </w:p>
    <w:p w:rsidR="00177AB9" w:rsidRDefault="00177AB9" w:rsidP="001D37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7AB9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информации о результатах </w:t>
      </w:r>
    </w:p>
    <w:p w:rsidR="00177AB9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7F8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учреждения </w:t>
      </w:r>
    </w:p>
    <w:p w:rsidR="001D37F8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«Организационно-методический </w:t>
      </w:r>
    </w:p>
    <w:p w:rsidR="00177AB9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центр» за 2025 год</w:t>
      </w:r>
    </w:p>
    <w:p w:rsidR="00177AB9" w:rsidRDefault="00177AB9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 результатах деятельности муниципального автономного учреждения «Организационно-методический центр» за 2025 год, руководствуясь частью 1 статьи 31 Устава Ханты-Мансийского района,</w:t>
      </w:r>
    </w:p>
    <w:p w:rsidR="00177AB9" w:rsidRDefault="00177AB9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pStyle w:val="af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о результатах деятельности муниципального автономного учреждения «Организационно-методический центр» за 2025 год согласно приложению к настоящему решению.</w:t>
      </w:r>
    </w:p>
    <w:p w:rsidR="00177AB9" w:rsidRDefault="00177AB9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B9" w:rsidRDefault="00177AB9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177AB9" w:rsidRDefault="00070552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Данилова</w:t>
      </w:r>
    </w:p>
    <w:p w:rsidR="00177AB9" w:rsidRDefault="00042218" w:rsidP="001D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26.06.2026</w:t>
      </w: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177AB9" w:rsidP="001D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AB9" w:rsidRDefault="00070552" w:rsidP="001D37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7AB9" w:rsidRDefault="00070552" w:rsidP="001D37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Думы</w:t>
      </w:r>
    </w:p>
    <w:p w:rsidR="00177AB9" w:rsidRDefault="00070552" w:rsidP="001D37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177AB9" w:rsidRDefault="00070552" w:rsidP="001D37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2218">
        <w:rPr>
          <w:rFonts w:ascii="Times New Roman" w:hAnsi="Times New Roman" w:cs="Times New Roman"/>
          <w:sz w:val="28"/>
          <w:szCs w:val="28"/>
        </w:rPr>
        <w:t>26.06.2026 № 769</w:t>
      </w:r>
      <w:bookmarkStart w:id="0" w:name="_GoBack"/>
      <w:bookmarkEnd w:id="0"/>
    </w:p>
    <w:p w:rsidR="00177AB9" w:rsidRDefault="00177AB9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77AB9" w:rsidRDefault="00070552" w:rsidP="001D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деятельности муниципального автономного учреждения «Организационно-методический центр» за 2025 год </w:t>
      </w:r>
    </w:p>
    <w:p w:rsidR="00177AB9" w:rsidRDefault="00177AB9" w:rsidP="001D3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муниципального автономного учреждения «Организационно-методический центр» (далее – учреждение) осуществляется за счёт средств бюджета Ханты-Мансийского района, выделенных на выполнение муниципального задания,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субсидии на</w:t>
      </w:r>
      <w:r w:rsidR="009501D1">
        <w:rPr>
          <w:rFonts w:ascii="Times New Roman" w:hAnsi="Times New Roman" w:cs="Times New Roman"/>
          <w:color w:val="000000"/>
          <w:sz w:val="28"/>
          <w:szCs w:val="28"/>
        </w:rPr>
        <w:t xml:space="preserve"> иные 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средств,</w:t>
      </w:r>
      <w:r>
        <w:rPr>
          <w:rFonts w:ascii="Times New Roman" w:hAnsi="Times New Roman" w:cs="Times New Roman"/>
          <w:sz w:val="28"/>
          <w:szCs w:val="28"/>
        </w:rPr>
        <w:t xml:space="preserve"> полученных от иной приносящей доход деятельности.</w:t>
      </w:r>
    </w:p>
    <w:p w:rsidR="00177AB9" w:rsidRDefault="00070552" w:rsidP="001D37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Учреждение создано в целях формирования инфраструктуры поддержки субъектов малого и среднего предпринимательства, социально-ориентированных некоммерческих организаций, социального предпринимательства и содействия органа</w:t>
      </w:r>
      <w:r w:rsidR="009501D1">
        <w:rPr>
          <w:rFonts w:ascii="Times New Roman" w:hAnsi="Times New Roman" w:cs="Times New Roman"/>
          <w:sz w:val="28"/>
          <w:szCs w:val="28"/>
        </w:rPr>
        <w:t>м местного самоуправления Ханты</w:t>
      </w:r>
      <w:r>
        <w:rPr>
          <w:rFonts w:ascii="Times New Roman" w:hAnsi="Times New Roman" w:cs="Times New Roman"/>
          <w:sz w:val="28"/>
          <w:szCs w:val="28"/>
        </w:rPr>
        <w:t>-Мансийского района в оказании муниципальных услуг в сферах занятости населения, развития малого и среднего предпринимательства, социального предпринимательства, развития социально ориентированных некоммерческих организаций, развитие ремесленнической деятельности на территории Ханты-Мансийского района.</w:t>
      </w:r>
      <w:proofErr w:type="gramEnd"/>
    </w:p>
    <w:p w:rsidR="00177AB9" w:rsidRDefault="00070552" w:rsidP="001D37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из бюджета Ханты-Мансийского района в 2025 году </w:t>
      </w:r>
      <w:r w:rsidR="001D37F8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убсидия на выполнение муниципального задания)</w:t>
      </w:r>
      <w:r>
        <w:rPr>
          <w:rFonts w:ascii="Times New Roman" w:hAnsi="Times New Roman" w:cs="Times New Roman"/>
          <w:sz w:val="28"/>
          <w:szCs w:val="28"/>
        </w:rPr>
        <w:t xml:space="preserve"> составило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bookmarkStart w:id="1" w:name="_Hlk19978606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24 633,5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99786510"/>
      <w:r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24 633,5 </w:t>
      </w:r>
      <w:r>
        <w:rPr>
          <w:rFonts w:ascii="Times New Roman" w:hAnsi="Times New Roman" w:cs="Times New Roman"/>
          <w:sz w:val="28"/>
          <w:szCs w:val="28"/>
        </w:rPr>
        <w:t>тыс. рублей или 100%.</w:t>
      </w:r>
      <w:bookmarkEnd w:id="2"/>
    </w:p>
    <w:p w:rsidR="00177AB9" w:rsidRDefault="00070552" w:rsidP="001D37F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из бюджета Ханты-Мансийского района, а также из окружного бюджета Ханты-Мансийского автономного о</w:t>
      </w:r>
      <w:r w:rsidR="001D37F8">
        <w:rPr>
          <w:rFonts w:ascii="Times New Roman" w:hAnsi="Times New Roman" w:cs="Times New Roman"/>
          <w:sz w:val="28"/>
          <w:szCs w:val="28"/>
        </w:rPr>
        <w:t>круга – Югры на иные цели в 2025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51 222,1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50 242,1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98%. </w:t>
      </w:r>
    </w:p>
    <w:p w:rsidR="00177AB9" w:rsidRDefault="00070552" w:rsidP="001D37F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доход от иной приносящей доход деятельности за 2025 год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3 475,3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82,0% от </w:t>
      </w:r>
      <w:r>
        <w:rPr>
          <w:rFonts w:ascii="Times New Roman" w:hAnsi="Times New Roman" w:cs="Times New Roman"/>
          <w:sz w:val="28"/>
          <w:szCs w:val="28"/>
        </w:rPr>
        <w:t>плановых показателей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4 240, 0 </w:t>
      </w:r>
      <w:r>
        <w:rPr>
          <w:rFonts w:ascii="Times New Roman" w:hAnsi="Times New Roman" w:cs="Times New Roman"/>
          <w:sz w:val="28"/>
          <w:szCs w:val="28"/>
        </w:rPr>
        <w:t>тыс. руб.). Фактические расходы в 2025 году составили 4 218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,5 </w:t>
      </w:r>
      <w:r>
        <w:rPr>
          <w:rFonts w:ascii="Times New Roman" w:hAnsi="Times New Roman" w:cs="Times New Roman"/>
          <w:sz w:val="28"/>
          <w:szCs w:val="28"/>
        </w:rPr>
        <w:t>тыс. рублей (в том числе остаток на начало 2025</w:t>
      </w:r>
      <w:r w:rsidR="00950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1 119,4 тыс. рублей) или 121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,4%</w:t>
      </w:r>
      <w:r>
        <w:rPr>
          <w:rFonts w:ascii="Times New Roman" w:hAnsi="Times New Roman" w:cs="Times New Roman"/>
          <w:sz w:val="28"/>
          <w:szCs w:val="28"/>
        </w:rPr>
        <w:t xml:space="preserve"> от дохода. Расходы на выплату заработной платы работникам учреждения из иной приносящей доход деятельности составили 1 291,7 тыс. рублей.</w:t>
      </w:r>
    </w:p>
    <w:p w:rsidR="00177AB9" w:rsidRDefault="00070552" w:rsidP="001D37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01.01.2026 штат сотрудников учреждения составляет 13,5 штатных единиц, которые содержатся за счет средств субсидии на выполнение муниципального задания.</w:t>
      </w:r>
    </w:p>
    <w:p w:rsidR="00177AB9" w:rsidRDefault="00070552" w:rsidP="001D37F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работников учреждения рассчитывается и выплачивается на основании постановления Администрации Ханты-Мансийского района от 21.06.2024 № 552 «Об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района» и по состоянию на 01.01.2026 составляет 102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,1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77AB9" w:rsidRDefault="00070552" w:rsidP="001D37F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Уставом учреждение осуществляет свою деятельность на основании муниципального задания. В муниципальном задании на 2025 год предусмотрены следующие муниципальные услуги: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информационная и консультационная поддержка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определено консультирование по вопросам поддержки, оказываемой в Ханты-Мансийском районе в соответствии с муниципальными программами «Развитие агропромышленного комплекса Ханты-Мансийского района», «Содействие занятости населения Ханты-Мансийского района», «Устойчивое развитие коренных малочисленных народов Севера на территории Ханты-Мансийского района», «Развитие малого и среднего предпринимательства на территории Ханты-Мансийского района».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количество получателей, обратившихся за получением муниципальной услуги, на отчетный период составляет – 912 единиц. За 12 месяцев 2025 года по факту получили 912 услуг, что составляет 100 % выполнения от планового показателя, из которых:</w:t>
      </w:r>
    </w:p>
    <w:p w:rsidR="00177AB9" w:rsidRDefault="00070552" w:rsidP="001D37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субъекты малого и среднего предпринимательства, зарегистрированные и осуществляющие свою деятельность на территории Ханты-Мансийского района;</w:t>
      </w:r>
    </w:p>
    <w:p w:rsidR="00177AB9" w:rsidRDefault="00070552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физические и юридические лица;</w:t>
      </w:r>
    </w:p>
    <w:p w:rsidR="00177AB9" w:rsidRDefault="009501D1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 </w:t>
      </w:r>
      <w:r w:rsidR="00070552">
        <w:rPr>
          <w:rFonts w:ascii="Times New Roman" w:hAnsi="Times New Roman" w:cs="Times New Roman"/>
          <w:sz w:val="28"/>
          <w:szCs w:val="28"/>
        </w:rPr>
        <w:t>ориентированные некоммерческие организации;</w:t>
      </w:r>
    </w:p>
    <w:p w:rsidR="00177AB9" w:rsidRDefault="00070552" w:rsidP="001D3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организация проведения оплачиваемых общественных работ, п</w:t>
      </w:r>
      <w:r w:rsidR="00EE0734">
        <w:rPr>
          <w:rFonts w:ascii="Times New Roman" w:hAnsi="Times New Roman"/>
          <w:sz w:val="28"/>
          <w:szCs w:val="28"/>
        </w:rPr>
        <w:t xml:space="preserve">олучателями </w:t>
      </w:r>
      <w:r>
        <w:rPr>
          <w:rFonts w:ascii="Times New Roman" w:hAnsi="Times New Roman"/>
          <w:sz w:val="28"/>
          <w:szCs w:val="28"/>
        </w:rPr>
        <w:t>по которой являются несовершеннолетние граждане в возрасте от 14 до 18 лет, граждане, признанные в установленном порядке безработными, испытывающие трудности в поиске работы, безработные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документа об образовании и о квалификации</w:t>
      </w:r>
      <w:proofErr w:type="gramEnd"/>
      <w:r>
        <w:rPr>
          <w:rFonts w:ascii="Times New Roman" w:hAnsi="Times New Roman"/>
          <w:sz w:val="28"/>
          <w:szCs w:val="28"/>
        </w:rPr>
        <w:t xml:space="preserve">. Показателем, характеризующим содержание данной муниципальной услуги, определена численность граждан, приступивших к временным работам. Плановое количество граждан, обратившихся за получением муниципальной услуги, за 2025 год составляет </w:t>
      </w:r>
      <w:r>
        <w:rPr>
          <w:rFonts w:ascii="Times New Roman" w:hAnsi="Times New Roman" w:cs="Times New Roman"/>
          <w:sz w:val="28"/>
          <w:szCs w:val="28"/>
        </w:rPr>
        <w:t>800</w:t>
      </w:r>
      <w:r w:rsidR="001D37F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Фактически муниципальная услуга оказана </w:t>
      </w:r>
      <w:r>
        <w:rPr>
          <w:rFonts w:ascii="Times New Roman" w:hAnsi="Times New Roman" w:cs="Times New Roman"/>
          <w:sz w:val="28"/>
          <w:szCs w:val="28"/>
        </w:rPr>
        <w:t>857 безработным гражданам, что составляет 107% выполнения от планового показателя.</w:t>
      </w:r>
    </w:p>
    <w:p w:rsidR="00177AB9" w:rsidRDefault="00070552" w:rsidP="001D37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Плановые показатели объема муниципальных услуг, утвержденных муниципальным заданием на 2025 год, выполнены учреждением и по фактическому объему составили 103%. Жалоб и претензий от получателей в учреждение не поступало, что по показателю, характеризующему качество оказанных муниципальных услуг, составило 100%.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исполнения программы «Развитие малого и среднего предпринимательства на территории Ханты-Мансийского района» предоставлена имущественная поддержка 13 субъектам малого и среднего предпринимательства, а также 8 физическим лицам, применяющи</w:t>
      </w:r>
      <w:r w:rsidR="001D37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налог на профессиональный доход, зарегистрированным и осуществляющим свою деятельность на территории Ханты-Мансийского района, путем сдачи в </w:t>
      </w:r>
      <w:bookmarkStart w:id="3" w:name="_Hlk95727873"/>
      <w:r>
        <w:rPr>
          <w:rFonts w:ascii="Times New Roman" w:hAnsi="Times New Roman" w:cs="Times New Roman"/>
          <w:sz w:val="28"/>
          <w:szCs w:val="28"/>
        </w:rPr>
        <w:t>аренду нежилых помещений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расположенных по следующим адресам: </w:t>
      </w:r>
      <w:proofErr w:type="gramEnd"/>
    </w:p>
    <w:p w:rsidR="00177AB9" w:rsidRDefault="00177AB9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AB9" w:rsidRDefault="00070552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административно-хозяйственное здание в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Киевская, дом 4, корпуса 1, 2 (общая площадь здания 1591,5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подлежащая сдаче субъектам малого предпринимательства Ханты-Мансийского района 1 164,30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заключен 31 договор аренды нежилых помещений на общую площадь 687,85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из которых заключено: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- 19 договоров с субъектами малого предпринимательства Ханты-Мансийского района (площадью 423,1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договора с муниципальным бюджетным учреждением «Культурно-досуговый центр «Геолог» (площадью 88,65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договор с казённым учреждением Ханты-Мансийского автономного округа – Югры «Агентство социального благополучия населения» (площадью 32,4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 договоров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гражданами (площадью 143,7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 года учреждением организовано участие представителей Ханты-Мансийского района на мероприятиях: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ярмарки выходного дня;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выставка-ярмарка сельскохозяйственных товаропроизводителей;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туристский форум «Югра-Тур-2025»;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выставка-ярмарка окружных товаропроизводителей «Товары земли Югорской»;</w:t>
      </w:r>
    </w:p>
    <w:p w:rsidR="00177AB9" w:rsidRDefault="00EE0734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этнофестиваль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«Югорские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обласы</w:t>
      </w:r>
      <w:proofErr w:type="spellEnd"/>
      <w:r w:rsidR="00070552">
        <w:rPr>
          <w:rFonts w:ascii="Times New Roman" w:hAnsi="Times New Roman" w:cs="Times New Roman"/>
          <w:sz w:val="28"/>
          <w:szCs w:val="28"/>
        </w:rPr>
        <w:t>»;</w:t>
      </w:r>
    </w:p>
    <w:p w:rsidR="00177AB9" w:rsidRDefault="00070552" w:rsidP="00EE07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X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городской выставка-ярмарка «Дары осени»;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заплыв на открытой воде X-WATERS </w:t>
      </w:r>
      <w:proofErr w:type="spellStart"/>
      <w:r>
        <w:rPr>
          <w:rFonts w:ascii="Times New Roman" w:hAnsi="Times New Roman" w:cs="Times New Roman"/>
          <w:sz w:val="28"/>
          <w:szCs w:val="28"/>
        </w:rPr>
        <w:t>Ugra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Федеральная образовательная программа «Добрые города»;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программа «Современные подходы в обучении взрослых»;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 повышения квалификации «НКО 360: региональные практики управления»;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форум развития гражданского общества «Добрино»;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действующих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Международный форум гражданского участия #МЫВМЕСТЕ.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поддержке Губернатора и Правительства Ханты-Мансийского автономного округа – Югры в 2025 году на территории </w:t>
      </w:r>
      <w:r w:rsidR="001D37F8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 реализовано</w:t>
      </w:r>
      <w:r w:rsidR="001D3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инициатив на общую сумму 12 224 101,45 рублей: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общество с ограниченной ответственностью «Кордон» предоставлен Грант в форме субсидии для реализации проектов, способствующих развитию традиционной хозяйственной деятельности коренных малочисленных народов Севера Ханты-Мансийского автономного округа</w:t>
      </w:r>
      <w:r w:rsidR="001D37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Югры в размере 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жителей Ханты-Мансийского района стали победителями конкурса на Грант Губернатора Югры для физических лиц 2025 и получили на реализацию проектов 2,1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грант Губернатора Югры к 80-летию Победы в Великой Отечественной войне (специальный конкурс) – победитель – автономная некоммерческая организация «Творческая мастерская новых медиа</w:t>
      </w:r>
      <w:r w:rsidR="001D37F8">
        <w:rPr>
          <w:rFonts w:ascii="Times New Roman" w:hAnsi="Times New Roman" w:cs="Times New Roman"/>
          <w:sz w:val="28"/>
          <w:szCs w:val="28"/>
        </w:rPr>
        <w:t xml:space="preserve"> «В объективе» – 657 227 рублей;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грант Губернатора Югры на развитие гражданского общества в 2025 году социально ориентированным некоммерческим организациям был получен автономной некоммерческой организацией «Творческая мастерская новых медиа «В объективе» </w:t>
      </w:r>
      <w:r w:rsidR="001D37F8" w:rsidRPr="001D37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240 400 рублей, автономной некоммерческой организацией «Центр сохранения и развития культуры народов ханты и манси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хот» (Сказочный дом)» – 1 372 080 руб., автономной некоммерческой организацией «Центр поддержки ветеранов (пенсионеров) Ханты-Мансийского района «Серебряный возраст» – 689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854 руб.;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жителей Ханты-Мансийского района стали победителями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«Родные города» и успешно реализовали проекты на территории Ханты-Мансийского района на общую сумму 1,7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(Суровикина Екатерина Сергеевна,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Александровна,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Васильевна, Конева Ольга Егоровна,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Николаевна)</w:t>
      </w:r>
      <w:r w:rsidR="001D37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конкурсе на предоставление грантов Губернатора</w:t>
      </w:r>
      <w:r w:rsidR="00EE0734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 на поддержку общественно значимых проектов в сфере культуры, искусства и креативных (творческих) индустрий в 2025 году стала победителем автономная некоммерческая организация «Творческая мастерская новых медиа «В объективе» </w:t>
      </w:r>
      <w:r w:rsidR="001D37F8" w:rsidRPr="001D37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476 448 рублей.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консультационной и организационной поддержке Ресурсного центра два проекта (авторы: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Кошелева Т.С. п. Луговской, Воронцова Ю.В.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покорили жюри и стали призёрами регионального этапа Международной премии #МЫВМЕСТЕ.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 «Родное тепло» ХМРН (автор Кошелева Татьяна, п. Луговской) вышел в полуфинал.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 начинающим предпринимателям,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самозанятым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гражданам, планирующим осуществлять деятельность на территории </w:t>
      </w:r>
      <w:r w:rsidR="00EE0734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района, из бюджета автономного округа предоставлены субсидии на создание собственного дела в общей сумме 2,15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</w:t>
      </w:r>
    </w:p>
    <w:p w:rsidR="00177AB9" w:rsidRDefault="00070552" w:rsidP="001D3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 постановлением Администрации Ханты-Мансийского района от 25 июля 2018 года № 212 «Об утверждении Положения о Ресурсном центр</w:t>
      </w:r>
      <w:r w:rsidR="00EE0734">
        <w:rPr>
          <w:rFonts w:ascii="Times New Roman" w:hAnsi="Times New Roman" w:cs="Times New Roman"/>
          <w:sz w:val="28"/>
          <w:szCs w:val="28"/>
        </w:rPr>
        <w:t>е поддержки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 на территории Ханты-Мансийского района» (с изменения на 26.11.2021) функции Ресурсного центра на территории Ханты-Мансийского района возложены на учреждение.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Ресурсный центр оказал содействие 2 гражданам в регистрации социально ориентиров</w:t>
      </w:r>
      <w:r w:rsidR="00EE0734">
        <w:rPr>
          <w:rFonts w:ascii="Times New Roman" w:hAnsi="Times New Roman" w:cs="Times New Roman"/>
          <w:sz w:val="28"/>
          <w:szCs w:val="28"/>
        </w:rPr>
        <w:t>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«Центр содействия развитию и сохранению культуры «Геолог» 04.04.2025</w:t>
      </w:r>
      <w:r w:rsidR="00EE0734">
        <w:rPr>
          <w:rFonts w:ascii="Times New Roman" w:hAnsi="Times New Roman" w:cs="Times New Roman"/>
          <w:sz w:val="28"/>
          <w:szCs w:val="28"/>
        </w:rPr>
        <w:t>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автономная некоммерческая организация по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«Выхлоп 86» 26.12.2025</w:t>
      </w:r>
      <w:r w:rsidR="00EE0734">
        <w:rPr>
          <w:rFonts w:ascii="Times New Roman" w:hAnsi="Times New Roman" w:cs="Times New Roman"/>
          <w:sz w:val="28"/>
          <w:szCs w:val="28"/>
        </w:rPr>
        <w:t>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социальных проектов стали участниками федеральных, регион</w:t>
      </w:r>
      <w:r w:rsidR="00EE0734">
        <w:rPr>
          <w:rFonts w:ascii="Times New Roman" w:hAnsi="Times New Roman" w:cs="Times New Roman"/>
          <w:sz w:val="28"/>
          <w:szCs w:val="28"/>
        </w:rPr>
        <w:t>альных и муниципальных конкурсов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конкурс на предоставление грантов Президента Российской Федерации на реализацию проектов в области культуры, искусства и креативных (творческих) индустрий – 3;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грант Губернатора Югры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НКО – 14;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Международная премия #МЫВМЕСТЕ - 13;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Родные Города </w:t>
      </w:r>
      <w:r w:rsidR="00EE07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E0734">
        <w:rPr>
          <w:rFonts w:ascii="Times New Roman" w:hAnsi="Times New Roman" w:cs="Times New Roman"/>
          <w:sz w:val="28"/>
          <w:szCs w:val="28"/>
        </w:rPr>
        <w:t>.</w:t>
      </w:r>
    </w:p>
    <w:p w:rsidR="00177AB9" w:rsidRPr="007F7EEB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деятельности </w:t>
      </w:r>
      <w:r w:rsidRPr="007F7EEB">
        <w:rPr>
          <w:rFonts w:ascii="Times New Roman" w:hAnsi="Times New Roman" w:cs="Times New Roman"/>
          <w:sz w:val="28"/>
          <w:szCs w:val="28"/>
        </w:rPr>
        <w:t xml:space="preserve">учреждения в </w:t>
      </w:r>
      <w:r w:rsidR="009501D1" w:rsidRPr="007F7EEB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7F7EEB">
        <w:rPr>
          <w:rFonts w:ascii="Times New Roman" w:hAnsi="Times New Roman" w:cs="Times New Roman"/>
          <w:sz w:val="28"/>
          <w:szCs w:val="28"/>
        </w:rPr>
        <w:t>Ханты-</w:t>
      </w:r>
      <w:r w:rsidR="009501D1" w:rsidRPr="007F7EEB">
        <w:rPr>
          <w:rFonts w:ascii="Times New Roman" w:hAnsi="Times New Roman" w:cs="Times New Roman"/>
          <w:sz w:val="28"/>
          <w:szCs w:val="28"/>
        </w:rPr>
        <w:t xml:space="preserve">Мансийского </w:t>
      </w:r>
      <w:r w:rsidRPr="007F7EEB">
        <w:rPr>
          <w:rFonts w:ascii="Times New Roman" w:hAnsi="Times New Roman" w:cs="Times New Roman"/>
          <w:sz w:val="28"/>
          <w:szCs w:val="28"/>
        </w:rPr>
        <w:t>район</w:t>
      </w:r>
      <w:r w:rsidR="009501D1" w:rsidRPr="007F7EEB">
        <w:rPr>
          <w:rFonts w:ascii="Times New Roman" w:hAnsi="Times New Roman" w:cs="Times New Roman"/>
          <w:sz w:val="28"/>
          <w:szCs w:val="28"/>
        </w:rPr>
        <w:t>а</w:t>
      </w:r>
      <w:r w:rsidR="007F7EEB" w:rsidRPr="007F7EEB">
        <w:rPr>
          <w:rFonts w:ascii="Times New Roman" w:hAnsi="Times New Roman" w:cs="Times New Roman"/>
          <w:sz w:val="28"/>
          <w:szCs w:val="28"/>
        </w:rPr>
        <w:t xml:space="preserve"> привлечено</w:t>
      </w:r>
      <w:r w:rsidRPr="007F7EEB">
        <w:rPr>
          <w:rFonts w:ascii="Times New Roman" w:hAnsi="Times New Roman" w:cs="Times New Roman"/>
          <w:sz w:val="28"/>
          <w:szCs w:val="28"/>
        </w:rPr>
        <w:t xml:space="preserve"> 7 224 101 рублей.</w:t>
      </w:r>
    </w:p>
    <w:p w:rsidR="00177AB9" w:rsidRDefault="00070552" w:rsidP="001D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Размещено 132 информационных сообщения о деятельности некоммерческих организаций и добровольческих (волонтерских) организаций, объединений в социальных сетях учреждения и средствах массовой информации Ханты-Мансийского района. Количество подписчиков ВК - 404, ОК-49, ТГ - 224. 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367 человек принял</w:t>
      </w:r>
      <w:r w:rsidR="00EE07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в 17 образовательных активностях по развитию компетенций в некоммерческом секторе, в том числе:</w:t>
      </w:r>
    </w:p>
    <w:p w:rsidR="00177AB9" w:rsidRDefault="00070552" w:rsidP="001D37F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- 21 круглый стол в 21 населенном пункте Ханты-Мансийского района для активных и инициативных граждан, представителей культурной, образовательной и социальной сфер была доведена информация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грантовой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поддержке, существующей как на региональном уровне, так и на федеральном. Были рассмотрены идеи, которые в будущем переросли в интересные социальные проекты;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вебинар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«Отчетность некоммерческих организаций»;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слет некоммерческих организаций Ханты-Мансийского района;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онлайн обучение «Бухгалтерия в НКО»;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форум социального предпринимательства и партнерства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районе;</w:t>
      </w:r>
    </w:p>
    <w:p w:rsidR="00177AB9" w:rsidRDefault="00070552" w:rsidP="00EE073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- 2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семинара «От идеи к проекту» (п.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Горноправдинск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п. Кирпичны</w:t>
      </w:r>
      <w:r w:rsidR="00EE0734">
        <w:rPr>
          <w:rFonts w:ascii="Times New Roman" w:eastAsiaTheme="minorHAnsi" w:hAnsi="Times New Roman" w:cs="Times New Roman"/>
          <w:sz w:val="28"/>
          <w:szCs w:val="28"/>
          <w:lang w:eastAsia="en-US"/>
        </w:rPr>
        <w:t>й)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77AB9" w:rsidRDefault="00070552" w:rsidP="001D37F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На базе муниципального автономного учреждения «Организационно-методический центр» функционирует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.Ц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итогам мониторинга работы в 2025 году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.Ц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ентр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вошел в ТОП 150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Добро.Центров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России.</w:t>
      </w:r>
    </w:p>
    <w:p w:rsidR="00177AB9" w:rsidRDefault="00070552" w:rsidP="001D37F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Организован сбор гуманитарной помощи для мобилизованных, сформированы индивидуальные пакеты для мобилизованных, включающих продукты питания, изделия медицинского назначения, текстиль, военные аксессуары, а также собраны предметы для общего пользования, теплые вещи. Всего за 2025 год отправлено 3 150 кг гуманитарной помощи.</w:t>
      </w:r>
    </w:p>
    <w:p w:rsidR="00177AB9" w:rsidRDefault="00070552" w:rsidP="001D37F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учреждением планируется продолжение работы по вышеуказанным направлениям деятельности.</w:t>
      </w:r>
    </w:p>
    <w:sectPr w:rsidR="00177AB9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5A" w:rsidRDefault="00253C5A">
      <w:pPr>
        <w:spacing w:line="240" w:lineRule="auto"/>
      </w:pPr>
      <w:r>
        <w:separator/>
      </w:r>
    </w:p>
  </w:endnote>
  <w:endnote w:type="continuationSeparator" w:id="0">
    <w:p w:rsidR="00253C5A" w:rsidRDefault="00253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24002"/>
    </w:sdtPr>
    <w:sdtEndPr/>
    <w:sdtContent>
      <w:p w:rsidR="00177AB9" w:rsidRDefault="00070552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22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5A" w:rsidRDefault="00253C5A">
      <w:pPr>
        <w:spacing w:after="0"/>
      </w:pPr>
      <w:r>
        <w:separator/>
      </w:r>
    </w:p>
  </w:footnote>
  <w:footnote w:type="continuationSeparator" w:id="0">
    <w:p w:rsidR="00253C5A" w:rsidRDefault="00253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40FA"/>
    <w:multiLevelType w:val="hybridMultilevel"/>
    <w:tmpl w:val="CAB05E02"/>
    <w:lvl w:ilvl="0" w:tplc="EA985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28C18">
      <w:start w:val="1"/>
      <w:numFmt w:val="lowerLetter"/>
      <w:lvlText w:val="%2."/>
      <w:lvlJc w:val="left"/>
      <w:pPr>
        <w:ind w:left="1440" w:hanging="360"/>
      </w:pPr>
    </w:lvl>
    <w:lvl w:ilvl="2" w:tplc="E8E43164">
      <w:start w:val="1"/>
      <w:numFmt w:val="lowerRoman"/>
      <w:lvlText w:val="%3."/>
      <w:lvlJc w:val="right"/>
      <w:pPr>
        <w:ind w:left="2160" w:hanging="180"/>
      </w:pPr>
    </w:lvl>
    <w:lvl w:ilvl="3" w:tplc="4CEECBF2">
      <w:start w:val="1"/>
      <w:numFmt w:val="decimal"/>
      <w:lvlText w:val="%4."/>
      <w:lvlJc w:val="left"/>
      <w:pPr>
        <w:ind w:left="2880" w:hanging="360"/>
      </w:pPr>
    </w:lvl>
    <w:lvl w:ilvl="4" w:tplc="822AF530">
      <w:start w:val="1"/>
      <w:numFmt w:val="lowerLetter"/>
      <w:lvlText w:val="%5."/>
      <w:lvlJc w:val="left"/>
      <w:pPr>
        <w:ind w:left="3600" w:hanging="360"/>
      </w:pPr>
    </w:lvl>
    <w:lvl w:ilvl="5" w:tplc="E0CEE552">
      <w:start w:val="1"/>
      <w:numFmt w:val="lowerRoman"/>
      <w:lvlText w:val="%6."/>
      <w:lvlJc w:val="right"/>
      <w:pPr>
        <w:ind w:left="4320" w:hanging="180"/>
      </w:pPr>
    </w:lvl>
    <w:lvl w:ilvl="6" w:tplc="2CA4E356">
      <w:start w:val="1"/>
      <w:numFmt w:val="decimal"/>
      <w:lvlText w:val="%7."/>
      <w:lvlJc w:val="left"/>
      <w:pPr>
        <w:ind w:left="5040" w:hanging="360"/>
      </w:pPr>
    </w:lvl>
    <w:lvl w:ilvl="7" w:tplc="113CA0F6">
      <w:start w:val="1"/>
      <w:numFmt w:val="lowerLetter"/>
      <w:lvlText w:val="%8."/>
      <w:lvlJc w:val="left"/>
      <w:pPr>
        <w:ind w:left="5760" w:hanging="360"/>
      </w:pPr>
    </w:lvl>
    <w:lvl w:ilvl="8" w:tplc="993CFB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B9"/>
    <w:rsid w:val="00042218"/>
    <w:rsid w:val="00070552"/>
    <w:rsid w:val="00177AB9"/>
    <w:rsid w:val="001D37F8"/>
    <w:rsid w:val="00253C5A"/>
    <w:rsid w:val="00564CC4"/>
    <w:rsid w:val="006D2DE9"/>
    <w:rsid w:val="00752945"/>
    <w:rsid w:val="007F7EEB"/>
    <w:rsid w:val="009501D1"/>
    <w:rsid w:val="00C35F4E"/>
    <w:rsid w:val="00EE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rPr>
      <w:sz w:val="22"/>
      <w:szCs w:val="22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link w:val="af5"/>
    <w:uiPriority w:val="99"/>
    <w:qFormat/>
  </w:style>
  <w:style w:type="character" w:customStyle="1" w:styleId="af8">
    <w:name w:val="Нижний колонтитул Знак"/>
    <w:basedOn w:val="a0"/>
    <w:link w:val="af7"/>
    <w:uiPriority w:val="99"/>
    <w:qFormat/>
  </w:style>
  <w:style w:type="paragraph" w:customStyle="1" w:styleId="310">
    <w:name w:val="Основной текст с отступом 31"/>
    <w:basedOn w:val="a"/>
    <w:qFormat/>
    <w:pPr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rPr>
      <w:sz w:val="22"/>
      <w:szCs w:val="22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link w:val="af5"/>
    <w:uiPriority w:val="99"/>
    <w:qFormat/>
  </w:style>
  <w:style w:type="character" w:customStyle="1" w:styleId="af8">
    <w:name w:val="Нижний колонтитул Знак"/>
    <w:basedOn w:val="a0"/>
    <w:link w:val="af7"/>
    <w:uiPriority w:val="99"/>
    <w:qFormat/>
  </w:style>
  <w:style w:type="paragraph" w:customStyle="1" w:styleId="310">
    <w:name w:val="Основной текст с отступом 31"/>
    <w:basedOn w:val="a"/>
    <w:qFormat/>
    <w:pPr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46A5-FC91-42A0-A52D-845E864A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Халикова Светлана</cp:lastModifiedBy>
  <cp:revision>27</cp:revision>
  <cp:lastPrinted>2026-06-29T10:07:00Z</cp:lastPrinted>
  <dcterms:created xsi:type="dcterms:W3CDTF">2025-06-02T12:58:00Z</dcterms:created>
  <dcterms:modified xsi:type="dcterms:W3CDTF">2026-07-02T06:55:00Z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eyJoZGlkIjoiMWE4OGRhYjk2MTRmN2ZiODkyYjY4ODk5MzliMjQ2MDkiLCJ1c2VySWQiOiI4MjQ2MzQ5OTgwNDEifQ==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D0387673CFA546AE9DB4751BB17F88DC_12</vt:lpwstr>
  </property>
</Properties>
</file>